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8B94" w14:textId="77777777" w:rsidR="004B58C8" w:rsidRDefault="004B58C8" w:rsidP="004B58C8">
      <w:pPr>
        <w:jc w:val="center"/>
        <w:rPr>
          <w:b/>
          <w:bCs/>
        </w:rPr>
      </w:pPr>
      <w:r>
        <w:rPr>
          <w:b/>
          <w:bCs/>
        </w:rPr>
        <w:t>KOMUNIKAT WARSZAWSKI</w:t>
      </w:r>
    </w:p>
    <w:p w14:paraId="5B8A5FCA" w14:textId="77777777" w:rsidR="004B58C8" w:rsidRDefault="004B58C8" w:rsidP="004B58C8">
      <w:pPr>
        <w:jc w:val="center"/>
        <w:rPr>
          <w:b/>
          <w:bCs/>
        </w:rPr>
      </w:pPr>
      <w:r>
        <w:rPr>
          <w:b/>
          <w:bCs/>
        </w:rPr>
        <w:t>W SPRAWIE ZMIAN KLIMATU W EUROPIE</w:t>
      </w:r>
    </w:p>
    <w:p w14:paraId="6689BCF8" w14:textId="77777777" w:rsidR="004B58C8" w:rsidRDefault="004B58C8" w:rsidP="004B58C8"/>
    <w:p w14:paraId="4D236836" w14:textId="0C0AA42D" w:rsidR="004B58C8" w:rsidRDefault="004B58C8" w:rsidP="004B58C8">
      <w:r>
        <w:t xml:space="preserve">Inauguracyjna Europejska Konferencja Klimatyczna zgromadziła 90 naukowców z 45 krajów Europy i Azji Środkowej w celu oceny zmian klimatu i postępów na drodze do osiągnięcia neutralności klimatycznej. Zebrani naukowcy niniejszym przedstawiają komunikat </w:t>
      </w:r>
      <w:r w:rsidR="00F227CC">
        <w:t>z dnia</w:t>
      </w:r>
      <w:r>
        <w:t xml:space="preserve"> 23 maja 2023 roku.</w:t>
      </w:r>
    </w:p>
    <w:p w14:paraId="6261AB98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 xml:space="preserve">Zmiana klimatu jest faktem, a planeta Ziemia znajduje się w epoce </w:t>
      </w:r>
      <w:proofErr w:type="spellStart"/>
      <w:r>
        <w:t>antropocenu</w:t>
      </w:r>
      <w:proofErr w:type="spellEnd"/>
      <w:r>
        <w:t>. Globalne ocieplenie i jego konsekwencje są spowodowane działalnością człowieka i stanowią jedno z najpilniejszych wyzwań naszych czasów. Zmiana klimatu wpływa na życie, przedsiębiorstwa, osiedla i ekosystemy. Żadna jednostka i żaden element planety nie pozostaje nienaruszony.</w:t>
      </w:r>
    </w:p>
    <w:p w14:paraId="5800C71A" w14:textId="77777777" w:rsidR="004B58C8" w:rsidRDefault="004B58C8" w:rsidP="004B58C8">
      <w:pPr>
        <w:pStyle w:val="Akapitzlist"/>
      </w:pPr>
    </w:p>
    <w:p w14:paraId="30E304F7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Ekstremalne przejawy zmiany klimatu obejmują: fale upałów, susze, pożary lasów, ulewne deszcze, powodzie, silne burze i cyklony. Ponadto: zmianę pór roku, dłuższe utrzymywanie się blokad wyżowych w atmosferze, utratę lodowców i lodu morskiego, wzrost poziomu morza, zakwaszenie i ocieplenie oceanów oraz zmiany w cyrkulacji oceanicznej. Wszystkie te zjawiska z dużym prawdopodobieństwem nasilą się do 2050 roku.</w:t>
      </w:r>
    </w:p>
    <w:p w14:paraId="10424D60" w14:textId="77777777" w:rsidR="004B58C8" w:rsidRDefault="004B58C8" w:rsidP="004B58C8">
      <w:pPr>
        <w:pStyle w:val="Akapitzlist"/>
      </w:pPr>
    </w:p>
    <w:p w14:paraId="5A9F26F4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Główne ekologiczne przejawy kryzysu są przez zmianę klimatu zaostrzane, ale wynikają przede wszystkim z niewłaściwej gospodarki gruntami, glebą i wodą. Należą do nich: utrata różnorodności biologicznej, utrata funkcji i usług ekosystemów, degradacja gleby i pustynnienie oraz pogorszenie stanu zasobów słodkiej wody.</w:t>
      </w:r>
    </w:p>
    <w:p w14:paraId="26A638A2" w14:textId="77777777" w:rsidR="004B58C8" w:rsidRDefault="004B58C8" w:rsidP="004B58C8">
      <w:pPr>
        <w:pStyle w:val="Akapitzlist"/>
      </w:pPr>
    </w:p>
    <w:p w14:paraId="51D75819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Zakres ryzyka i skala transformacji muszą być rozpatrywane systemowo i sekwencyjnie (stopniowe wprowadzanie i wycofywanie). Transformacje muszą być sprawiedliwe, zarówno w obrębie społeczeństw, jak i pomiędzy nimi. Transformacja wciąż nie jest prowadzona z wystarczającym rozmachem i ambicją. Musimy działać szybciej i bardziej kompleksowo. Poradzenie sobie ze zmianą klimatu wymaga harmonizacji strategii łagodzenia i adaptacji, zawsze w podejściu międzysektorowym.</w:t>
      </w:r>
    </w:p>
    <w:p w14:paraId="4D5B883B" w14:textId="77777777" w:rsidR="004B58C8" w:rsidRDefault="004B58C8" w:rsidP="004B58C8">
      <w:pPr>
        <w:pStyle w:val="Akapitzlist"/>
      </w:pPr>
    </w:p>
    <w:p w14:paraId="4B860E68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W przypadku energetyki i przemysłu priorytetami są: (a) przyspieszenie dekarbonizacji produkcji energii, głównie dzięki odnawialnym źródłom energii, z uwzględnieniem elektryfikacji na szeroką skalę, efektywności energetycznej i opłacalności, oraz rozwiązań w zakresie ujemnych emisji; (b) rozwój super inteligentnej sieci (Europa, Azja Środkowa, Afryka Północna), łączącej rozwiązania techniczne i rynkowe w celu zarządzania zmiennością dostaw energii elektrycznej ze źródeł odnawialnych, zarządzanej w oparciu o sztuczną inteligencję; (c) inwestowanie w długoterminowe magazynowanie energii elektrycznej na dużą skalę (np. magazynowanie chemiczne za pomocą wodoru); (d) wspieranie innowacyjnych podejść pozwalających na rezygnację z paliw kopalnych w przemyśle i umożliwienie rozwoju gospodarki o obiegu zamkniętym i gospodarki niskoemisyjnej.</w:t>
      </w:r>
    </w:p>
    <w:p w14:paraId="70E396DA" w14:textId="77777777" w:rsidR="004B58C8" w:rsidRDefault="004B58C8" w:rsidP="004B58C8">
      <w:pPr>
        <w:pStyle w:val="Akapitzlist"/>
      </w:pPr>
    </w:p>
    <w:p w14:paraId="661F18B0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W przypadku różnorodności biologicznej i ekosystemów priorytetami są: (a) znaczne ograniczenie przyczyn utraty różnorodności biologicznej i degradacji ekosystemów, zwłaszcza wylesiania, intensywnego rolnictwa (monokultury i nadużywanie pestycydów), a także przełowienia, zanieczyszczenia, fragmentacji siedlisk i konfliktów związanych z użytkowaniem gruntów; (b) wybór rozwiązań opartych na przyrodzie w celu wspierania łagodzenia zmiany klimatu i adaptacji gatunków (np. poprzez zwiększenie różnorodności genetycznej); (c) wdrożenie globalnych ram różnorodności biologicznej Kunming-Montreal z 2022 r.</w:t>
      </w:r>
    </w:p>
    <w:p w14:paraId="5202FC91" w14:textId="77777777" w:rsidR="004B58C8" w:rsidRDefault="004B58C8" w:rsidP="004B58C8">
      <w:pPr>
        <w:pStyle w:val="Akapitzlist"/>
      </w:pPr>
    </w:p>
    <w:p w14:paraId="57A01E57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 xml:space="preserve">W przypadku rolnictwa i gospodarki wodnej priorytetami są: (a) unikanie degradacji gleby i jej rekultywacja; (b) zintegrowane zarządzanie gruntami, glebą i wodą, w tym ochrona zasobów wodnych, skuteczne nawadnianie i </w:t>
      </w:r>
      <w:proofErr w:type="spellStart"/>
      <w:r>
        <w:t>renaturyzacja</w:t>
      </w:r>
      <w:proofErr w:type="spellEnd"/>
      <w:r>
        <w:t xml:space="preserve"> oraz uprawy i gatunki zwierząt gospodarskich odporne na stres klimatyczny; (c) ograniczenie </w:t>
      </w:r>
      <w:proofErr w:type="spellStart"/>
      <w:r>
        <w:t>zasobochłonnej</w:t>
      </w:r>
      <w:proofErr w:type="spellEnd"/>
      <w:r>
        <w:t xml:space="preserve"> produkcji rolnej, zwłaszcza w przypadku zwierząt gospodarskich (również w celu ograniczenia emisji metanu), oraz zminimalizowanie strat żywności i jej marnotrawienia.</w:t>
      </w:r>
    </w:p>
    <w:p w14:paraId="34B8DD60" w14:textId="77777777" w:rsidR="004B58C8" w:rsidRDefault="004B58C8" w:rsidP="004B58C8">
      <w:pPr>
        <w:pStyle w:val="Akapitzlist"/>
      </w:pPr>
    </w:p>
    <w:p w14:paraId="331189B0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W przypadku infrastruktury i mobilności priorytetami są: (a) przestrzeganie nowych zasad zintegrowanego, odpornego i elastycznego planowania infrastruktury poprzez połączenie jej z inteligentnymi sieciami, rozwój mobilności efektywnie korzystającej z zasobów i niski ślad węglowy budynków; (b) inwestowanie w elektryczną mobilność ludzi i towarów, a jednocześnie rozszerzanie transportu publicznego; (c) uwzględnienie zarządzania ryzykiem klimatycznym w rozwoju przedsiębiorstw i polityce przemysłowej, a także w administracji publicznej i obronie cywilnej.</w:t>
      </w:r>
    </w:p>
    <w:p w14:paraId="42DBE84C" w14:textId="77777777" w:rsidR="004B58C8" w:rsidRDefault="004B58C8" w:rsidP="004B58C8">
      <w:pPr>
        <w:pStyle w:val="Akapitzlist"/>
      </w:pPr>
    </w:p>
    <w:p w14:paraId="096B90C4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>Regionalna różnorodność (zmian) klimatu powinna być traktowana z większą uwagą i wykorzystywana jako mocna strona działań łagodzących i adaptacyjnych. W celu osiągnięcia maksymalnego efektu, wiedza lokalna i regionalna powinna zostać przełożona na działania na poziomie krajowym i kontynentalnym. Wykorzystanie potencjału Europy i sąsiadujących z nią krajów Azji Środkowej i Afryki Północnej, w szczególności w zakresie neutralnych dla klimatu systemów energetycznych i żywnościowych, powinno być traktowane priorytetowo i realizowane w sposób sprawiedliwy i oparty na współpracy.</w:t>
      </w:r>
    </w:p>
    <w:p w14:paraId="7E9D6AEB" w14:textId="77777777" w:rsidR="004B58C8" w:rsidRDefault="004B58C8" w:rsidP="004B58C8">
      <w:pPr>
        <w:pStyle w:val="Akapitzlist"/>
      </w:pPr>
    </w:p>
    <w:p w14:paraId="781BB0A7" w14:textId="77777777" w:rsidR="004B58C8" w:rsidRDefault="004B58C8" w:rsidP="004B58C8">
      <w:pPr>
        <w:pStyle w:val="Akapitzlist"/>
        <w:numPr>
          <w:ilvl w:val="0"/>
          <w:numId w:val="1"/>
        </w:numPr>
      </w:pPr>
      <w:r>
        <w:t xml:space="preserve">Polityka i instrumenty rynkowe - zwłaszcza te przełomowe, takie jak Europejski Zielony Ład, krajowe pakiety inwestycji ekologicznych oraz krajowe lub ponadnarodowe systemy opłat za emisje CO2 - nigdy nie powinny działać przeciwko sobie. Polityki w zakresie klimatu i różnorodności biologicznej nie powinny być rozdzielane. Regulacje powinny być mądrze wykorzystywane do stymulowania i skalowania innowacji technologicznych i społecznych w celu osiągnięcia transformacji. Oparta na badaniach i przejrzysta komunikacja między politykami, obywatelami i naukowcami powinna stać się normą, aby zwiększyć akceptację i zmniejszyć negatywizm i </w:t>
      </w:r>
      <w:proofErr w:type="spellStart"/>
      <w:r>
        <w:t>negacjonizm</w:t>
      </w:r>
      <w:proofErr w:type="spellEnd"/>
      <w:r>
        <w:t>. Sprawiedliwość pokoleniowa i partycypacyjne kształtowanie polityki powinny być oczywistością.</w:t>
      </w:r>
    </w:p>
    <w:p w14:paraId="5954FD76" w14:textId="77777777" w:rsidR="004B58C8" w:rsidRDefault="004B58C8" w:rsidP="004B58C8">
      <w:pPr>
        <w:pStyle w:val="Akapitzlist"/>
      </w:pPr>
    </w:p>
    <w:p w14:paraId="2C8C8F61" w14:textId="77777777" w:rsidR="004B58C8" w:rsidRDefault="004B58C8" w:rsidP="004B58C8">
      <w:pPr>
        <w:jc w:val="center"/>
        <w:rPr>
          <w:b/>
          <w:bCs/>
        </w:rPr>
      </w:pPr>
      <w:r>
        <w:rPr>
          <w:b/>
          <w:bCs/>
        </w:rPr>
        <w:t>PODSUMOWANIE</w:t>
      </w:r>
    </w:p>
    <w:p w14:paraId="740341B0" w14:textId="4A0BF568" w:rsidR="004B58C8" w:rsidRDefault="004B58C8" w:rsidP="004B58C8">
      <w:r>
        <w:t xml:space="preserve">Naukowcy uczestniczący w inauguracyjnej Europejskiej Konferencji Klimatycznej, reprezentujący 45 krajów europejskich, uznają, że oparte na dowodach doradztwo naukowe powinno być podstawą politycznych i osobistych decyzji dotyczących neutralności klimatycznej, a naukowcy powinni bardziej angażować się w zwiększanie wiedzy na temat zmiany klimatu wśród swoich współobywateli. Skuteczne działania na rzecz neutralności klimatycznej oznaczają głęboką transformację większości aspektów gospodarki, systemu energetycznego, rynków międzynarodowych i globalnych ram współpracy. </w:t>
      </w:r>
      <w:r w:rsidR="000E0576" w:rsidRPr="000E0576">
        <w:t>Środki te powinny harmonijnie łączyć strategie adaptacji i łagodzenia zmiany klimatu, oraz znajdować transnarodowe, krajowe i regionalne kompromisy.</w:t>
      </w:r>
      <w:r>
        <w:t xml:space="preserve"> Regionalne zmiany klimatu i relacje globalno-lokalne powinny znaleźć się w</w:t>
      </w:r>
      <w:r w:rsidR="003C66CE">
        <w:t xml:space="preserve"> </w:t>
      </w:r>
      <w:r>
        <w:t>centrum uwagi. Ani sama nauka, ani polityka, ani zbiorowe działania obywatelskie, ani edukacja, ani inwestycje publiczne lub prywatne nie wystarczą. Okno czasowe, w którym możliwe jest osiągnięcie celu porozumienia paryskiego zamyka się, a to pozostawia bardzo niewiele realistycznych opcji.</w:t>
      </w:r>
    </w:p>
    <w:p w14:paraId="3BFBEC6E" w14:textId="77777777" w:rsidR="004B58C8" w:rsidRDefault="004B58C8" w:rsidP="004B58C8">
      <w:r>
        <w:t xml:space="preserve">Podstawowym zaleceniem jest przyspieszenie działań łagodzących zmianę klimatu zgodnie z ramami paryskimi, przy jednoczesnym wdrażaniu środków adaptacyjnych. Do stymulowania neutralności klimatycznej </w:t>
      </w:r>
      <w:r>
        <w:lastRenderedPageBreak/>
        <w:t>powinny być wykorzystywane regulacje i instrumenty finansowe, takie jak opłaty za emisje CO2.  Obejmuje to również zachęty do otwartości na zielone technologie, do rygorystycznej redukcji emisji gazów cieplarnianych oraz do przeciwdziałania zanieczyszczeniu środowiska i degradacji ekosystemów, zwłaszcza wylesianiu i utracie różnorodności biologicznej. Europa i Azja Środkowa powinny lepiej wykorzystać swój istniejący potencjał do poradzenia sobie ze zmianą klimatu: odnawialne źródła energii, łączność, gospodarkę rynkową, ludzi, wiedzę i innowacje. Wykorzystajmy te potężne potencjały, aby przyspieszyć tempo transformacji w kierunku neutralnej dla klimatu przyszłości naszego kontynentu i naszej planety.</w:t>
      </w:r>
    </w:p>
    <w:p w14:paraId="6A3F5512" w14:textId="77777777" w:rsidR="004B58C8" w:rsidRDefault="004B58C8"/>
    <w:sectPr w:rsidR="004B58C8" w:rsidSect="005C52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0743"/>
    <w:multiLevelType w:val="multilevel"/>
    <w:tmpl w:val="9AA63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26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C8"/>
    <w:rsid w:val="000E0576"/>
    <w:rsid w:val="003C66CE"/>
    <w:rsid w:val="004B58C8"/>
    <w:rsid w:val="005C5226"/>
    <w:rsid w:val="00CC6E12"/>
    <w:rsid w:val="00F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E5AE"/>
  <w15:chartTrackingRefBased/>
  <w15:docId w15:val="{69D41784-F25D-4664-A6DD-A1BF0F5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8C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8161f-915e-4818-8959-93feded8c46b">
      <Terms xmlns="http://schemas.microsoft.com/office/infopath/2007/PartnerControls"/>
    </lcf76f155ced4ddcb4097134ff3c332f>
    <TaxCatchAll xmlns="dc7d47a6-3295-41d5-9bec-df44dd5fee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8F702751AF14CB4E4708DBE6E864E" ma:contentTypeVersion="13" ma:contentTypeDescription="Utwórz nowy dokument." ma:contentTypeScope="" ma:versionID="015490be0044a2e22c3176e7fc235e43">
  <xsd:schema xmlns:xsd="http://www.w3.org/2001/XMLSchema" xmlns:xs="http://www.w3.org/2001/XMLSchema" xmlns:p="http://schemas.microsoft.com/office/2006/metadata/properties" xmlns:ns2="a258161f-915e-4818-8959-93feded8c46b" xmlns:ns3="dc7d47a6-3295-41d5-9bec-df44dd5feee7" targetNamespace="http://schemas.microsoft.com/office/2006/metadata/properties" ma:root="true" ma:fieldsID="259c604c427d6228c624513857155f6d" ns2:_="" ns3:_="">
    <xsd:import namespace="a258161f-915e-4818-8959-93feded8c46b"/>
    <xsd:import namespace="dc7d47a6-3295-41d5-9bec-df44dd5f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161f-915e-4818-8959-93feded8c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47a6-3295-41d5-9bec-df44dd5fee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fae09d-0d02-477e-a905-6acbb17c1d08}" ma:internalName="TaxCatchAll" ma:showField="CatchAllData" ma:web="dc7d47a6-3295-41d5-9bec-df44dd5f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8411F-4912-4879-9D36-C8E3694CB34E}">
  <ds:schemaRefs>
    <ds:schemaRef ds:uri="http://schemas.microsoft.com/office/2006/metadata/properties"/>
    <ds:schemaRef ds:uri="http://schemas.microsoft.com/office/infopath/2007/PartnerControls"/>
    <ds:schemaRef ds:uri="a258161f-915e-4818-8959-93feded8c46b"/>
    <ds:schemaRef ds:uri="dc7d47a6-3295-41d5-9bec-df44dd5feee7"/>
  </ds:schemaRefs>
</ds:datastoreItem>
</file>

<file path=customXml/itemProps2.xml><?xml version="1.0" encoding="utf-8"?>
<ds:datastoreItem xmlns:ds="http://schemas.openxmlformats.org/officeDocument/2006/customXml" ds:itemID="{C40612E3-95AF-43DC-8B7E-97FA918E5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4498C-81A6-4F3D-AC78-07798E7F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8161f-915e-4818-8959-93feded8c46b"/>
    <ds:schemaRef ds:uri="dc7d47a6-3295-41d5-9bec-df44dd5f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Chrobak</dc:creator>
  <cp:keywords/>
  <dc:description/>
  <cp:lastModifiedBy>Monika Chrobak</cp:lastModifiedBy>
  <cp:revision>5</cp:revision>
  <dcterms:created xsi:type="dcterms:W3CDTF">2023-05-25T10:11:00Z</dcterms:created>
  <dcterms:modified xsi:type="dcterms:W3CDTF">2023-05-25T11:49:00Z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0x010100B058F702751AF14CB4E4708DBE6E864E</vt:lpwstr>
  </property>
  <property fmtid="{D5CDD505-2E9C-101B-9397-08002B2CF9AE}" pid="3" name="MediaServiceImageTags">
    <vt:lpwstr/>
  </property>
</Properties>
</file>